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Borutt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Sassari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